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3E01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need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:</w:t>
      </w:r>
    </w:p>
    <w:p w14:paraId="68159DBA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decide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As transfer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arrival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it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strongly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recommended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choose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high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number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elective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(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recognized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</w:t>
      </w:r>
    </w:p>
    <w:p w14:paraId="2050E1F5" w14:textId="61E7F754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choose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partner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form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proofErr w:type="gramStart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 xml:space="preserve">  </w:t>
      </w:r>
      <w:proofErr w:type="spellStart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>Agreement</w:t>
      </w:r>
      <w:proofErr w:type="spellEnd"/>
      <w:proofErr w:type="gramEnd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>List</w:t>
      </w:r>
      <w:proofErr w:type="spellEnd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tr-TR"/>
        </w:rPr>
        <w:t xml:space="preserve"> Exchange</w:t>
      </w:r>
    </w:p>
    <w:p w14:paraId="59F9315E" w14:textId="4A016108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procedure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EPEEP </w:t>
      </w:r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( English</w:t>
      </w:r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Proficiency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Exchange Programs) </w:t>
      </w:r>
    </w:p>
    <w:p w14:paraId="47E7DA49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select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arrange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transfer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ahead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time </w:t>
      </w:r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(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check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instruction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partner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</w:t>
      </w:r>
    </w:p>
    <w:p w14:paraId="24ADF504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arrangements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e.g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look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housing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organize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visa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insurance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</w:t>
      </w:r>
    </w:p>
    <w:p w14:paraId="409D73C5" w14:textId="31F4488C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-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read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Student's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experiences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</w:p>
    <w:p w14:paraId="736F13D2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also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make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sure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that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:</w:t>
      </w:r>
    </w:p>
    <w:p w14:paraId="07585588" w14:textId="5B03A65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9A5E8D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load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minimum 30 ECTS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s/he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plans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Programme</w:t>
      </w:r>
      <w:proofErr w:type="spellEnd"/>
    </w:p>
    <w:p w14:paraId="62D5E7CB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30 ECTS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</w:p>
    <w:p w14:paraId="432A4916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sure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30 ECTS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recognized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upon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successfully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completion</w:t>
      </w:r>
      <w:proofErr w:type="spellEnd"/>
    </w:p>
    <w:p w14:paraId="4842B1E0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-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has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completed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courses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abroad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recognized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thesis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1AEB2E5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A.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apply</w:t>
      </w:r>
      <w:proofErr w:type="spellEnd"/>
      <w:r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?</w:t>
      </w:r>
    </w:p>
    <w:p w14:paraId="6611D0D5" w14:textId="53547BBA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registered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r w:rsidR="009A5E8D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full-degree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time of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application.Students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on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current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i.e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bachelor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).</w:t>
      </w:r>
    </w:p>
    <w:p w14:paraId="54856CD2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Conditional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(Bilimsel Hazırlık)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studying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Basic English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eligible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1DAC8E48" w14:textId="14FFFBA4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considering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2,</w:t>
      </w:r>
      <w:r w:rsidR="009A5E8D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2</w:t>
      </w: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CGPA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3,0 CGPA. </w:t>
      </w:r>
    </w:p>
    <w:p w14:paraId="71616AB9" w14:textId="3D6C1466" w:rsidR="005651D9" w:rsidRPr="005651D9" w:rsidRDefault="009A5E8D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B</w:t>
      </w:r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. English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Proficiency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Exam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for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Exchange Programs (EPEEP)</w:t>
      </w:r>
    </w:p>
    <w:p w14:paraId="41482D40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English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Proficiency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Exchange Programs (EPEEP)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place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obligatory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EPEE.</w:t>
      </w:r>
    </w:p>
    <w:p w14:paraId="08FCB56A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EPEEP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valid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two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consecutive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years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years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However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allowed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EPEEP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year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61C849B8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organized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Basic English.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able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valid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excuse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submit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petition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explaining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excuse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International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Cooperations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Office.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Otherwise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regarded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invalid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5BC10A1C" w14:textId="1DECB82A" w:rsidR="005651D9" w:rsidRPr="005651D9" w:rsidRDefault="009A5E8D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C.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Selection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Criteria</w:t>
      </w:r>
      <w:proofErr w:type="spellEnd"/>
    </w:p>
    <w:p w14:paraId="17ADAE17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According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regulations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Turkish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National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Agency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 50% of CGPA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50%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English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test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account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electing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prospective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7CFC5AA1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Besides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50%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CGPA,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coefficient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CGPA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according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'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department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below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:</w:t>
      </w:r>
    </w:p>
    <w:p w14:paraId="782DCE1E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CGPA: 3.15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651D9" w:rsidRPr="005651D9" w14:paraId="66A92B55" w14:textId="77777777" w:rsidTr="005651D9"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outset" w:sz="8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494A04" w14:textId="77777777" w:rsidR="005651D9" w:rsidRPr="005651D9" w:rsidRDefault="005651D9" w:rsidP="005651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CGPA of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related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department's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students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same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semester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with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applicant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2.89</w:t>
            </w:r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Ratio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3.15/2.89 = 1.09</w:t>
            </w:r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  <w:t>25*+1.09=26.09</w:t>
            </w:r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Overall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Erasmus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application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score</w:t>
            </w:r>
            <w:proofErr w:type="spellEnd"/>
            <w:r w:rsidRPr="005651D9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 3.15x26.09 = 82.18 </w:t>
            </w:r>
          </w:p>
        </w:tc>
      </w:tr>
    </w:tbl>
    <w:p w14:paraId="02F03858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*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convergent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factor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calculate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50%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CGPA = 25</w:t>
      </w:r>
    </w:p>
    <w:p w14:paraId="54AE40FD" w14:textId="77777777" w:rsidR="005651D9" w:rsidRPr="005651D9" w:rsidRDefault="005651D9" w:rsidP="0056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lastRenderedPageBreak/>
        <w:t xml:space="preserve">15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childrens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martyries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veterans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3C000C85" w14:textId="77777777" w:rsidR="005651D9" w:rsidRPr="005651D9" w:rsidRDefault="005651D9" w:rsidP="0056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10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68ED164B" w14:textId="77777777" w:rsidR="005651D9" w:rsidRPr="005651D9" w:rsidRDefault="005651D9" w:rsidP="00565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10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protection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2828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Social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Services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Law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6A7D1C20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additional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have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submit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official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proofs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International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Cooperations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Office. </w:t>
      </w:r>
    </w:p>
    <w:p w14:paraId="5CACF282" w14:textId="77777777" w:rsidR="005651D9" w:rsidRPr="005651D9" w:rsidRDefault="005651D9" w:rsidP="00565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10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decreased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each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KA103 /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Traineeship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KA107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same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cycle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71E03ADE" w14:textId="77777777" w:rsidR="005651D9" w:rsidRPr="005651D9" w:rsidRDefault="005651D9" w:rsidP="00565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10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points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decreased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overall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score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withdraw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after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deadline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withdrawal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 </w:t>
      </w:r>
    </w:p>
    <w:p w14:paraId="423F4817" w14:textId="4DC3BA8E" w:rsidR="005651D9" w:rsidRPr="005651D9" w:rsidRDefault="009A5E8D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D.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The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length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of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the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study</w:t>
      </w:r>
      <w:proofErr w:type="spellEnd"/>
    </w:p>
    <w:p w14:paraId="10BD747F" w14:textId="3492C221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expected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(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fall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spring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like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indicated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online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 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might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extend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whole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year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approval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9A5E8D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F2AF351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once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.</w:t>
      </w:r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total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length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12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each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cycle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(UG, MS,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independently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from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number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type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activities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3DC559B2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give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example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had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6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, he/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KA103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, 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traineeship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KA107 International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another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6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as 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period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Similarly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had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previously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traineeship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/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KA107 International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Credit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proofErr w:type="gram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proofErr w:type="gram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3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, he/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9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However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if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same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traineeship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again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, he/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up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12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months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at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570ED163" w14:textId="5F8FE9ED" w:rsidR="005651D9" w:rsidRPr="005651D9" w:rsidRDefault="009A5E8D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E</w:t>
      </w:r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. Language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Proficiency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and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Academic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Standing</w:t>
      </w:r>
      <w:proofErr w:type="spellEnd"/>
    </w:p>
    <w:p w14:paraId="6E83A6FE" w14:textId="73291A7C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some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cases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submit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relevant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proficiency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document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during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 (TOEFL/IELTS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English-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medium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German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certificates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German-medium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etc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.).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Therefore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,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recommended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search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language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requirement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host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r w:rsidR="002C62C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KTUN</w:t>
      </w: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exam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(s)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when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necessary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4BAA4AEB" w14:textId="77777777" w:rsidR="005651D9" w:rsidRPr="005651D9" w:rsidRDefault="005651D9" w:rsidP="005651D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Host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universities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may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transcript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evaluate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candidates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'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standing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semester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(s)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before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beginning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Therefore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must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good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standing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advised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avoid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getting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failing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until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their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participation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program.</w:t>
      </w:r>
    </w:p>
    <w:p w14:paraId="5F0901E5" w14:textId="77777777" w:rsidR="005651D9" w:rsidRPr="005651D9" w:rsidRDefault="005651D9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FF/FD/W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also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consult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academic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units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learn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permission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rules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 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undergraduate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/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graduate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regulations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p w14:paraId="779A96F0" w14:textId="4C30EDB5" w:rsidR="005651D9" w:rsidRPr="005651D9" w:rsidRDefault="009A5E8D" w:rsidP="005651D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F</w:t>
      </w:r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.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Students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with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disabilities</w:t>
      </w:r>
      <w:proofErr w:type="spellEnd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 xml:space="preserve"> in </w:t>
      </w:r>
      <w:proofErr w:type="spellStart"/>
      <w:r w:rsidR="005651D9" w:rsidRPr="005651D9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tr-TR"/>
        </w:rPr>
        <w:t>Erasmus</w:t>
      </w:r>
      <w:proofErr w:type="spellEnd"/>
    </w:p>
    <w:p w14:paraId="36D12C40" w14:textId="0AEA0C46" w:rsidR="004B5D16" w:rsidRPr="002C62C9" w:rsidRDefault="005651D9" w:rsidP="002C62C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</w:pP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ensure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severe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can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take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full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advantage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European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arrangements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program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pays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particular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attention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guidance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reception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physical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accessibility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pedagogical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technical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support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services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especially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financing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extra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costs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This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means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Erasmus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severe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higher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than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normal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to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offset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specific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difficulties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which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faced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(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such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physical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access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organisation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teaching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).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form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describing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student's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special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and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additional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requirements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entails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be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filled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in, as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well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as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detailed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cost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estimate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financial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support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student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will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need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application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grant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should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include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medical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certificate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stating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the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level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of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disability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acknowledged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by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a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doctor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.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For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more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information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,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please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get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in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contact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with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our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 xml:space="preserve"> </w:t>
      </w:r>
      <w:proofErr w:type="spellStart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office</w:t>
      </w:r>
      <w:proofErr w:type="spellEnd"/>
      <w:r w:rsidRPr="005651D9">
        <w:rPr>
          <w:rFonts w:ascii="Helvetica" w:eastAsia="Times New Roman" w:hAnsi="Helvetica" w:cs="Helvetica"/>
          <w:color w:val="252525"/>
          <w:sz w:val="21"/>
          <w:szCs w:val="21"/>
          <w:lang w:eastAsia="tr-TR"/>
        </w:rPr>
        <w:t>.</w:t>
      </w:r>
    </w:p>
    <w:sectPr w:rsidR="004B5D16" w:rsidRPr="002C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1DE2"/>
    <w:multiLevelType w:val="multilevel"/>
    <w:tmpl w:val="4BB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A0F7A"/>
    <w:multiLevelType w:val="multilevel"/>
    <w:tmpl w:val="F5C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6"/>
    <w:rsid w:val="002C62C9"/>
    <w:rsid w:val="004B5D16"/>
    <w:rsid w:val="005651D9"/>
    <w:rsid w:val="009A5E8D"/>
    <w:rsid w:val="009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F61B"/>
  <w15:chartTrackingRefBased/>
  <w15:docId w15:val="{3B1BD31E-431C-41E6-A0EA-33131CC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1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5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6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9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8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63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29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83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87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14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13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0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4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0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95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78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1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8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55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21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84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 DIŞ İLİŞKİLER 1</dc:creator>
  <cp:keywords/>
  <dc:description/>
  <cp:lastModifiedBy>KTUN DIŞ İLİŞKİLER 1</cp:lastModifiedBy>
  <cp:revision>3</cp:revision>
  <dcterms:created xsi:type="dcterms:W3CDTF">2020-07-28T07:21:00Z</dcterms:created>
  <dcterms:modified xsi:type="dcterms:W3CDTF">2020-07-28T14:39:00Z</dcterms:modified>
</cp:coreProperties>
</file>